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 xml:space="preserve">6 </w:t>
      </w:r>
      <w:r>
        <w:t>ЭКОНОМИКА ОТРАСЛИ»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 xml:space="preserve">6 </w:t>
      </w:r>
      <w:r>
        <w:rPr>
          <w:color w:val="auto"/>
        </w:rPr>
        <w:t>ЭКОНОМИКА ОТРАСЛИ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617837E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 xml:space="preserve">Цель дисциплины 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«Экономика отрасли»</w:t>
      </w: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>: формирование знаний об экономических основах функционирования отрасли, освоение принципов управления ресурсами и финансовыми потоками, развитие навыков анализа экономических показателей и принятия обоснованных решений для повышения эффективности профессиональной деятельности.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«Экономика отрасли»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4ECDEFA2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05686B4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527A8367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10FE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6B92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7D249303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D6EF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45C80E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CA5B7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3CD587F3"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8DA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9A04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66624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4BDBDE28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6CD51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DC2BF2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2CE1B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7FE7BB9E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E672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FC7887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CBF7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044A8301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8159E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067AEC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A9771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59A2AFDA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99062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30F734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C564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3D0BB631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14133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D62D37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57DED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2BAAD3ED"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5594D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DFDBC0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2229D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6F10BB16">
        <w:trPr>
          <w:trHeight w:val="327" w:hRule="atLeast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0E9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98B8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1B4AC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1B40AF4B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54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24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24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2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283395B4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tbl>
      <w:tblPr>
        <w:tblStyle w:val="4"/>
        <w:tblW w:w="14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406"/>
      </w:tblGrid>
      <w:tr w14:paraId="00D08D64">
        <w:trPr>
          <w:trHeight w:val="903" w:hRule="atLeast"/>
          <w:jc w:val="center"/>
        </w:trPr>
        <w:tc>
          <w:tcPr>
            <w:tcW w:w="2972" w:type="dxa"/>
            <w:vAlign w:val="center"/>
          </w:tcPr>
          <w:p w14:paraId="2DF1755B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11406" w:type="dxa"/>
            <w:vAlign w:val="center"/>
          </w:tcPr>
          <w:p w14:paraId="232FEE2A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5C711683">
        <w:trPr>
          <w:jc w:val="center"/>
        </w:trPr>
        <w:tc>
          <w:tcPr>
            <w:tcW w:w="14378" w:type="dxa"/>
            <w:gridSpan w:val="2"/>
          </w:tcPr>
          <w:p w14:paraId="5BCCD76B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Раздел 1. Основы экономической деятельности (10 часов)</w:t>
            </w:r>
          </w:p>
        </w:tc>
      </w:tr>
      <w:tr w14:paraId="3B5B5C9E">
        <w:trPr>
          <w:jc w:val="center"/>
        </w:trPr>
        <w:tc>
          <w:tcPr>
            <w:tcW w:w="2972" w:type="dxa"/>
            <w:vMerge w:val="restart"/>
          </w:tcPr>
          <w:p w14:paraId="79798171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1.1. Основы экономики предприятия</w:t>
            </w:r>
          </w:p>
        </w:tc>
        <w:tc>
          <w:tcPr>
            <w:tcW w:w="11406" w:type="dxa"/>
          </w:tcPr>
          <w:p w14:paraId="4567D4CB">
            <w:pP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44CC6F08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AFCF051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149C21E1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Организационно-правовые формы предприятий, структура капитала, основные средства.</w:t>
            </w:r>
          </w:p>
        </w:tc>
      </w:tr>
      <w:tr w14:paraId="050BBF2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71CC6BE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4A539F1C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41A42A36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5BA0C445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419664C1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Расчёт структуры капитала предприятия.</w:t>
            </w:r>
          </w:p>
        </w:tc>
      </w:tr>
      <w:tr w14:paraId="2BF02AEC">
        <w:trPr>
          <w:trHeight w:val="219" w:hRule="atLeast"/>
          <w:jc w:val="center"/>
        </w:trPr>
        <w:tc>
          <w:tcPr>
            <w:tcW w:w="2972" w:type="dxa"/>
            <w:vMerge w:val="continue"/>
          </w:tcPr>
          <w:p w14:paraId="2EB0132E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316933AC">
            <w:pPr>
              <w:suppressAutoHyphens/>
              <w:rPr>
                <w:rFonts w:ascii="Times New Roman" w:hAnsi="Times New Roman" w:eastAsia="Times New Roman" w:cs="Times New Roman"/>
                <w:i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Анализ организационно-правовых форм предприятий.</w:t>
            </w:r>
          </w:p>
        </w:tc>
      </w:tr>
      <w:tr w14:paraId="393F302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7AB669E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vAlign w:val="bottom"/>
          </w:tcPr>
          <w:p w14:paraId="458C8ECB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3C4EE1F4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8367087">
        <w:trPr>
          <w:trHeight w:val="220" w:hRule="atLeast"/>
          <w:jc w:val="center"/>
        </w:trPr>
        <w:tc>
          <w:tcPr>
            <w:tcW w:w="2972" w:type="dxa"/>
            <w:vMerge w:val="restart"/>
          </w:tcPr>
          <w:p w14:paraId="4827DC5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1.2. Основы бухгалтерского учёта и анализа</w:t>
            </w: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3D56C4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5F5FE55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B879DE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CC22706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Основы ведения бухгалтерского учёта, анализ финансовой отчётности, учет затрат.</w:t>
            </w:r>
          </w:p>
        </w:tc>
      </w:tr>
      <w:tr w14:paraId="191FEB5D">
        <w:trPr>
          <w:trHeight w:val="190" w:hRule="atLeast"/>
          <w:jc w:val="center"/>
        </w:trPr>
        <w:tc>
          <w:tcPr>
            <w:tcW w:w="2972" w:type="dxa"/>
            <w:vMerge w:val="continue"/>
          </w:tcPr>
          <w:p w14:paraId="7CED7A5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7A551C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5C320D00">
        <w:trPr>
          <w:trHeight w:val="190" w:hRule="atLeast"/>
          <w:jc w:val="center"/>
        </w:trPr>
        <w:tc>
          <w:tcPr>
            <w:tcW w:w="2972" w:type="dxa"/>
            <w:vMerge w:val="continue"/>
          </w:tcPr>
          <w:p w14:paraId="26AA691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8E67D3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Построение баланса предприятия.</w:t>
            </w:r>
          </w:p>
        </w:tc>
      </w:tr>
      <w:tr w14:paraId="53D160E6">
        <w:trPr>
          <w:trHeight w:val="70" w:hRule="atLeast"/>
          <w:jc w:val="center"/>
        </w:trPr>
        <w:tc>
          <w:tcPr>
            <w:tcW w:w="2972" w:type="dxa"/>
            <w:vMerge w:val="continue"/>
          </w:tcPr>
          <w:p w14:paraId="7895209B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79E15045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Анализ прибыли и убытков организации.</w:t>
            </w:r>
          </w:p>
        </w:tc>
      </w:tr>
      <w:tr w14:paraId="25277F13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27F3EE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9C2A1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30075A7F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4EFE6AB">
        <w:trPr>
          <w:jc w:val="center"/>
        </w:trPr>
        <w:tc>
          <w:tcPr>
            <w:tcW w:w="14378" w:type="dxa"/>
            <w:gridSpan w:val="2"/>
          </w:tcPr>
          <w:p w14:paraId="7742B392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Раздел 2. Планирование и управление экономической деятельностью (10 часов)</w:t>
            </w:r>
          </w:p>
        </w:tc>
      </w:tr>
      <w:tr w14:paraId="56B17455">
        <w:trPr>
          <w:jc w:val="center"/>
        </w:trPr>
        <w:tc>
          <w:tcPr>
            <w:tcW w:w="2972" w:type="dxa"/>
            <w:vMerge w:val="restart"/>
          </w:tcPr>
          <w:p w14:paraId="1271071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2.1. Основы планирования деятельности предприятия</w:t>
            </w:r>
          </w:p>
        </w:tc>
        <w:tc>
          <w:tcPr>
            <w:tcW w:w="11406" w:type="dxa"/>
          </w:tcPr>
          <w:p w14:paraId="1528BB98">
            <w:pPr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6C41D8F1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70C8D0F8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6305B01B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Бизнес-планирование, долгосрочное и краткосрочное планирование, финансовое моделирование.</w:t>
            </w:r>
          </w:p>
        </w:tc>
      </w:tr>
      <w:tr w14:paraId="5355A081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352C8D4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09350D8D">
            <w:pPr>
              <w:suppressAutoHyphens/>
              <w:jc w:val="both"/>
              <w:rPr>
                <w:rFonts w:ascii="Times New Roman" w:hAnsi="Times New Roman" w:eastAsia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5F0E58DF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6E29FF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7F1EE399">
            <w:pPr>
              <w:suppressAutoHyphens/>
              <w:jc w:val="both"/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Разработка бизнес-плана для малого предприятия.</w:t>
            </w:r>
          </w:p>
        </w:tc>
      </w:tr>
      <w:tr w14:paraId="6CC32C73">
        <w:trPr>
          <w:trHeight w:val="190" w:hRule="atLeast"/>
          <w:jc w:val="center"/>
        </w:trPr>
        <w:tc>
          <w:tcPr>
            <w:tcW w:w="2972" w:type="dxa"/>
            <w:vMerge w:val="continue"/>
          </w:tcPr>
          <w:p w14:paraId="16FB5D3E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</w:tcPr>
          <w:p w14:paraId="37E87AFE">
            <w:pPr>
              <w:suppressAutoHyphens/>
              <w:rPr>
                <w:rFonts w:ascii="Times New Roman" w:hAnsi="Times New Roman" w:eastAsia="Times New Roman" w:cs="Times New Roman"/>
                <w:i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Расчёт прогнозных финансовых показателей.</w:t>
            </w:r>
          </w:p>
        </w:tc>
      </w:tr>
      <w:tr w14:paraId="47FEA32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68D313D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vAlign w:val="bottom"/>
          </w:tcPr>
          <w:p w14:paraId="41A6B59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339075A9">
            <w:pPr>
              <w:rPr>
                <w:rFonts w:ascii="Times New Roman" w:hAnsi="Times New Roman"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99B24C3">
        <w:trPr>
          <w:trHeight w:val="204" w:hRule="atLeast"/>
          <w:jc w:val="center"/>
        </w:trPr>
        <w:tc>
          <w:tcPr>
            <w:tcW w:w="2972" w:type="dxa"/>
            <w:vMerge w:val="restart"/>
          </w:tcPr>
          <w:p w14:paraId="0EC5989D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2.2. Управление затратами и ценообразование</w:t>
            </w: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D7C6E2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4E6FB53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FDE2F13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C0A466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Методы управления затратами, калькуляция себестоимости продукции, принципы ценообразования.</w:t>
            </w:r>
          </w:p>
        </w:tc>
      </w:tr>
      <w:tr w14:paraId="576ED19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E8903B6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601E14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13D6DB11">
        <w:trPr>
          <w:trHeight w:val="161" w:hRule="atLeast"/>
          <w:jc w:val="center"/>
        </w:trPr>
        <w:tc>
          <w:tcPr>
            <w:tcW w:w="2972" w:type="dxa"/>
            <w:vMerge w:val="continue"/>
          </w:tcPr>
          <w:p w14:paraId="08A66C7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9AC725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Расчёт себестоимости продукции.</w:t>
            </w:r>
          </w:p>
        </w:tc>
      </w:tr>
      <w:tr w14:paraId="6EB1FCE1">
        <w:trPr>
          <w:trHeight w:val="161" w:hRule="atLeast"/>
          <w:jc w:val="center"/>
        </w:trPr>
        <w:tc>
          <w:tcPr>
            <w:tcW w:w="2972" w:type="dxa"/>
            <w:vMerge w:val="continue"/>
          </w:tcPr>
          <w:p w14:paraId="516C408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 w14:paraId="06867137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Определение ценовой стратегии предприятия.</w:t>
            </w:r>
          </w:p>
        </w:tc>
      </w:tr>
      <w:tr w14:paraId="013ADE5D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D3F42E4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F6081C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7FA1E77F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6ACE5AA">
        <w:trPr>
          <w:trHeight w:val="256" w:hRule="atLeast"/>
          <w:jc w:val="center"/>
        </w:trPr>
        <w:tc>
          <w:tcPr>
            <w:tcW w:w="14378" w:type="dxa"/>
            <w:gridSpan w:val="2"/>
            <w:tcBorders>
              <w:right w:val="single" w:color="auto" w:sz="4" w:space="0"/>
            </w:tcBorders>
          </w:tcPr>
          <w:p w14:paraId="4A714690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Раздел 3. Анализ и оценка экономической эффективности (6 часов)</w:t>
            </w:r>
          </w:p>
        </w:tc>
      </w:tr>
      <w:tr w14:paraId="06A7D321">
        <w:trPr>
          <w:trHeight w:val="192" w:hRule="atLeast"/>
          <w:jc w:val="center"/>
        </w:trPr>
        <w:tc>
          <w:tcPr>
            <w:tcW w:w="2972" w:type="dxa"/>
            <w:vMerge w:val="restart"/>
          </w:tcPr>
          <w:p w14:paraId="61F3B0E1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Тема 3.1. Оценка эффективности деятельности предприятия</w:t>
            </w: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D586F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Содержание </w:t>
            </w:r>
          </w:p>
        </w:tc>
      </w:tr>
      <w:tr w14:paraId="0B823719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6F5B5634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06F218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Основы экономического анализа, показатели эффективности, оценка рентабельности.</w:t>
            </w:r>
          </w:p>
        </w:tc>
      </w:tr>
      <w:tr w14:paraId="74D91D02">
        <w:trPr>
          <w:trHeight w:val="117" w:hRule="atLeast"/>
          <w:jc w:val="center"/>
        </w:trPr>
        <w:tc>
          <w:tcPr>
            <w:tcW w:w="2972" w:type="dxa"/>
            <w:vMerge w:val="continue"/>
          </w:tcPr>
          <w:p w14:paraId="1D886C4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AEFAD3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практических и лабораторных занятий</w:t>
            </w:r>
          </w:p>
        </w:tc>
      </w:tr>
      <w:tr w14:paraId="7F18FEC1">
        <w:trPr>
          <w:trHeight w:val="117" w:hRule="atLeast"/>
          <w:jc w:val="center"/>
        </w:trPr>
        <w:tc>
          <w:tcPr>
            <w:tcW w:w="2972" w:type="dxa"/>
            <w:vMerge w:val="continue"/>
          </w:tcPr>
          <w:p w14:paraId="27AE0B67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AF83513">
            <w:pP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Расчёт коэффициентов рентабельности.</w:t>
            </w:r>
          </w:p>
        </w:tc>
      </w:tr>
      <w:tr w14:paraId="085A927B">
        <w:trPr>
          <w:trHeight w:val="167" w:hRule="atLeast"/>
          <w:jc w:val="center"/>
        </w:trPr>
        <w:tc>
          <w:tcPr>
            <w:tcW w:w="2972" w:type="dxa"/>
            <w:vMerge w:val="continue"/>
          </w:tcPr>
          <w:p w14:paraId="483AC3F2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88D4DA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Анализ экономической эффективности проектов.</w:t>
            </w:r>
          </w:p>
        </w:tc>
      </w:tr>
      <w:tr w14:paraId="202ACEB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5B21FA6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74E829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>В том числе самостоятельная работа обучающихся</w:t>
            </w:r>
          </w:p>
          <w:p w14:paraId="38FB6A53"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8"/>
                <w:szCs w:val="21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8B65459">
        <w:trPr>
          <w:jc w:val="center"/>
        </w:trPr>
        <w:tc>
          <w:tcPr>
            <w:tcW w:w="14378" w:type="dxa"/>
            <w:gridSpan w:val="2"/>
          </w:tcPr>
          <w:p w14:paraId="6776EEDC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1"/>
                <w:szCs w:val="21"/>
                <w:lang w:eastAsia="ru-RU"/>
              </w:rPr>
              <w:t xml:space="preserve">Промежуточная аттестация </w:t>
            </w:r>
          </w:p>
        </w:tc>
      </w:tr>
      <w:tr w14:paraId="47A0599C">
        <w:trPr>
          <w:jc w:val="center"/>
        </w:trPr>
        <w:tc>
          <w:tcPr>
            <w:tcW w:w="14378" w:type="dxa"/>
            <w:gridSpan w:val="2"/>
          </w:tcPr>
          <w:p w14:paraId="65CEBFC8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lang w:val="en-US" w:eastAsia="ru-RU"/>
              </w:rPr>
              <w:t>54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 часов</w:t>
            </w:r>
          </w:p>
        </w:tc>
      </w:tr>
    </w:tbl>
    <w:p w14:paraId="20F54C64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2099E6E7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cs="Times New Roman Regular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инструменты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62D9A684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Рагулина, Ю. В., Основы экономики : учебное пособие / Ю. В. Рагулина, Т. В. Братарчук, В. М. Груздев, ; под общ. ред. Ю. В. Рагулиной. — Москва : Русайнс, 2024. — 95 с. — (электронный учебник ЭБС)</w:t>
      </w:r>
    </w:p>
    <w:p w14:paraId="2A507315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Носова, С. С., Основы экономики : учебник / С. С. Носова. — Москва : КноРус, 2024. — 312 с. — (СПО) — (электронный учебник ЭБС)</w:t>
      </w:r>
    </w:p>
    <w:p w14:paraId="3C9195C2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Шимко, П. Д., Основы экономики : учебник / П. Д. Шимко. — Москва : КноРус, 2017. — 292 с. — (СПО) — (электронный учебник ЭБС)</w:t>
      </w:r>
    </w:p>
    <w:p w14:paraId="52C29CBF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Шимко, П. Д., Основы экономики. Практикум : учебное пособие / П. Д. Шимко. — Москва : КноРус, 2017. — 200 с. — (СПО) — (электронный учебник ЭБС)</w:t>
      </w:r>
    </w:p>
    <w:p w14:paraId="79350236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Грибов, В. Д., Основы экономики, менеджмента и маркетинга : учебное пособие / В. Д. Грибов. — Москва : КноРус, 2018. — 224 с. —(СПО) — (электронный учебник ЭБС)</w:t>
      </w:r>
    </w:p>
    <w:p w14:paraId="1C0BCB6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Розанова, Н. М., Экономика России. : учебник / Н. М. Розанова. — Москва : КноРус, 2024. — 554 с. — (электронный учебник ЭБС).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4C8EF67C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1. Сафонова, Л. А. Экономика отрасли : учебное пособие для СПО / Л. А. Сафонова. — Саратов : Профобразование, 2024. — 78 c. — ISBN 978-5-4488-1875-2. — Текст : электронный // Электронный ресурс цифровой образовательной среды СПО PROFобразование : [сайт]. — URL: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bCs/>
          <w:sz w:val="24"/>
          <w:szCs w:val="24"/>
        </w:rPr>
        <w:instrText xml:space="preserve"> HYPERLINK "https://profspo.ru/books/139054" </w:instrTex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/>
          <w:sz w:val="24"/>
          <w:szCs w:val="24"/>
        </w:rPr>
        <w:t>https://profspo.ru/books/139054</w: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end"/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03A4273E">
        <w:trPr>
          <w:trHeight w:val="519" w:hRule="atLeast"/>
          <w:jc w:val="center"/>
        </w:trPr>
        <w:tc>
          <w:tcPr>
            <w:tcW w:w="1498" w:type="pct"/>
            <w:vAlign w:val="center"/>
          </w:tcPr>
          <w:p w14:paraId="5950709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1" w:name="_GoBack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7DFB505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D467931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021A0F80">
        <w:trPr>
          <w:trHeight w:val="698" w:hRule="atLeast"/>
          <w:jc w:val="center"/>
        </w:trPr>
        <w:tc>
          <w:tcPr>
            <w:tcW w:w="1498" w:type="pct"/>
          </w:tcPr>
          <w:p w14:paraId="4B82323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5CCD46C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4A209E6D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606A918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735E421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4D250388">
        <w:trPr>
          <w:trHeight w:val="698" w:hRule="atLeast"/>
          <w:jc w:val="center"/>
        </w:trPr>
        <w:tc>
          <w:tcPr>
            <w:tcW w:w="1498" w:type="pct"/>
          </w:tcPr>
          <w:p w14:paraId="3CD15C5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46CF7FD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2167777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195E60A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54AEB36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7CF6E0AC">
        <w:trPr>
          <w:trHeight w:val="698" w:hRule="atLeast"/>
          <w:jc w:val="center"/>
        </w:trPr>
        <w:tc>
          <w:tcPr>
            <w:tcW w:w="1498" w:type="pct"/>
          </w:tcPr>
          <w:p w14:paraId="20054A1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05F7BAA9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0BC08D4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74F7E8B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65A819E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731BA2CA">
        <w:trPr>
          <w:trHeight w:val="698" w:hRule="atLeast"/>
          <w:jc w:val="center"/>
        </w:trPr>
        <w:tc>
          <w:tcPr>
            <w:tcW w:w="1498" w:type="pct"/>
          </w:tcPr>
          <w:p w14:paraId="26162F4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3C2190E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6EC02E3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5DBA582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50D4144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2121F895">
        <w:trPr>
          <w:trHeight w:val="698" w:hRule="atLeast"/>
          <w:jc w:val="center"/>
        </w:trPr>
        <w:tc>
          <w:tcPr>
            <w:tcW w:w="1498" w:type="pct"/>
          </w:tcPr>
          <w:p w14:paraId="064110E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09322897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644BE4F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4E9B0BA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2D1BDE0A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721F3D00">
        <w:trPr>
          <w:trHeight w:val="698" w:hRule="atLeast"/>
          <w:jc w:val="center"/>
        </w:trPr>
        <w:tc>
          <w:tcPr>
            <w:tcW w:w="1498" w:type="pct"/>
          </w:tcPr>
          <w:p w14:paraId="2F4A228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4A1B69F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18BBEE50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7CB229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59F048A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1882882D">
        <w:trPr>
          <w:trHeight w:val="698" w:hRule="atLeast"/>
          <w:jc w:val="center"/>
        </w:trPr>
        <w:tc>
          <w:tcPr>
            <w:tcW w:w="1498" w:type="pct"/>
          </w:tcPr>
          <w:p w14:paraId="3374142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0735C60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34FBCF2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3B47746C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3F4A17D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091A93BB">
        <w:trPr>
          <w:trHeight w:val="698" w:hRule="atLeast"/>
          <w:jc w:val="center"/>
        </w:trPr>
        <w:tc>
          <w:tcPr>
            <w:tcW w:w="1498" w:type="pct"/>
          </w:tcPr>
          <w:p w14:paraId="62AEE8BB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6B234B9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4417AAC9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5AFFAD12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1D9F736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62CC91C3">
        <w:trPr>
          <w:trHeight w:val="698" w:hRule="atLeast"/>
          <w:jc w:val="center"/>
        </w:trPr>
        <w:tc>
          <w:tcPr>
            <w:tcW w:w="1498" w:type="pct"/>
          </w:tcPr>
          <w:p w14:paraId="5BA21C9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752F9469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3D5D6BE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4400EB7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255DB5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  <w:bookmarkEnd w:id="31"/>
    </w:tbl>
    <w:p w14:paraId="33D56D72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4138D"/>
    <w:multiLevelType w:val="singleLevel"/>
    <w:tmpl w:val="6FB4138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59D7EA7"/>
    <w:rsid w:val="1B7D50A3"/>
    <w:rsid w:val="2DFB4810"/>
    <w:rsid w:val="375F3296"/>
    <w:rsid w:val="4FA7F944"/>
    <w:rsid w:val="5DEF73A1"/>
    <w:rsid w:val="5FFAD955"/>
    <w:rsid w:val="6D3DEE1F"/>
    <w:rsid w:val="75F3B22C"/>
    <w:rsid w:val="76EE628D"/>
    <w:rsid w:val="77E7E94F"/>
    <w:rsid w:val="79BA5EF6"/>
    <w:rsid w:val="7D4BDBCC"/>
    <w:rsid w:val="7FFDF511"/>
    <w:rsid w:val="A8AF136A"/>
    <w:rsid w:val="A9D9B5E4"/>
    <w:rsid w:val="AB9E58F2"/>
    <w:rsid w:val="BFFDE2C8"/>
    <w:rsid w:val="DCF6B4C8"/>
    <w:rsid w:val="DFFBEAB0"/>
    <w:rsid w:val="ED72C833"/>
    <w:rsid w:val="EFAB679D"/>
    <w:rsid w:val="F5EF2570"/>
    <w:rsid w:val="F79BB055"/>
    <w:rsid w:val="F7EE1DE4"/>
    <w:rsid w:val="FAF765FD"/>
    <w:rsid w:val="FB73E9AD"/>
    <w:rsid w:val="FBFBE925"/>
    <w:rsid w:val="FC6FFF0E"/>
    <w:rsid w:val="FD769EF7"/>
    <w:rsid w:val="FEBE66E6"/>
    <w:rsid w:val="FF2D8268"/>
    <w:rsid w:val="FF7F3824"/>
    <w:rsid w:val="FFAD891C"/>
    <w:rsid w:val="FF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3470</Words>
  <Characters>19783</Characters>
  <Lines>164</Lines>
  <Paragraphs>46</Paragraphs>
  <TotalTime>0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2025-12-04T23:25:51Z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DF5310F823B0C74A8BB43169090546DA_43</vt:lpwstr>
  </property>
</Properties>
</file>